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bCs/>
          <w:sz w:val="32"/>
          <w:szCs w:val="32"/>
        </w:rPr>
        <w:t>住房城乡建设部办公厅关于取消工程建设项目招标代理机构资格认定加强事中事后</w:t>
      </w:r>
      <w:r>
        <w:rPr>
          <w:rFonts w:ascii="宋体 ，Arial" w:hAnsi="宋体 ，Arial" w:eastAsia="宋体 ，Arial" w:cs="宋体 ，Arial"/>
          <w:b/>
          <w:bCs/>
          <w:color w:val="000000"/>
          <w:sz w:val="32"/>
          <w:szCs w:val="32"/>
          <w:bdr w:val="none" w:color="auto" w:sz="0" w:space="0"/>
        </w:rPr>
        <w:t>监管的通知</w:t>
      </w:r>
    </w:p>
    <w:p>
      <w:pPr>
        <w:jc w:val="center"/>
        <w:rPr>
          <w:rFonts w:hint="eastAsia"/>
        </w:rPr>
      </w:pPr>
      <w:r>
        <w:rPr>
          <w:rFonts w:hint="eastAsia"/>
        </w:rPr>
        <w:t>建办市[2017]77号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360" w:lineRule="atLeast"/>
      </w:pPr>
      <w:r>
        <w:rPr>
          <w:rFonts w:ascii="宋体 ，Arial" w:hAnsi="宋体 ，Arial" w:eastAsia="宋体 ，Arial" w:cs="宋体 ，Arial"/>
          <w:color w:val="000000"/>
          <w:sz w:val="18"/>
          <w:szCs w:val="18"/>
          <w:bdr w:val="none" w:color="auto" w:sz="0" w:space="0"/>
        </w:rPr>
        <w:t xml:space="preserve">　　 </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各省、自治区住房城乡建设厅，直辖市建委，新疆生产建设兵团建设局：</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为贯彻落实《全国人民代表大会常务委员会关于修改&lt;中华人民共和国招标投标法&gt;、&lt;中华人民共和国计量法&gt;的决定》，深入推进工程建设领域“放管服”改革，加强工程建设项目招标代理机构（以下简称招标代理机构）事中事后监管，规范工程招标代理行为，维护建筑市场秩序，现将有关事项通知如下：</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一、停止招标代理机构资格申请受理和审批。自2017年12月28日起，各级住房城乡建设部门不再受理招标代理机构资格认定申请，停止招标代理机构资格审批。</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二、建立信息报送和公开制度。招标代理机构可按照自愿原则向工商注册所在地省级建筑市场监管一体化工作平台报送基本信息。信息内容包括：营业执照相关信息、注册执业人员、具有工程建设类职称的专职人员、近3年代表性业绩、联系方式。上述信息统一在我部全国建筑市场监管公共服务平台（以下简称公共服务平台）对外公开，供招标人根据工程项目实际情况选择参考。</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招标代理机构对报送信息的真实性和准确性负责，并及时核实其在公共服务平台的信息内容。信息内容发生变化的，应当及时更新。任何单位和个人如发现招标代理机构报送虚假信息，可向招标代理机构工商注册所在地省级住房城乡建设主管部门举报。工商注册所在地省级住房城乡建设主管部门应当及时组织核实，对涉及非本省市工程业绩的，可商请工程所在地省级住房城乡建设主管部门协助核查，工程所在地省级住房城乡建设主管部门应当给予配合。对存在报送虚假信息行为的招标代理机构，工商注册所在地省级住房城乡建设主管部门应当将其弄虚作假行为信息推送至公共服务平台对外公布。</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三、规范工程招标代理行为。招标代理机构应当与招标人签订工程招标代理书面委托合同，并在合同约定的范围内依法开展工程招标代理活动。招标代理机构及其从业人员应当严格按照招标投标法、招标投标法实施条例等相关法律法规开展工程招标代理活动，并对工程招标代理业务承担相应责任。</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四、强化工程招投标活动监管。各级住房城乡建设主管部门要加大房屋建筑和市政基础设施招标投标活动监管力度，推进电子招投标，加强招标代理机构行为监管，严格依法查处招标代理机构违法违规行为，及时归集相关处罚信息并向社会公开，切实维护建筑市场秩序。</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五、加强信用体系建设。加快推进省级建筑市场监管一体化工作平台建设，规范招标代理机构信用信息采集、报送机制，加大信息公开力度，强化信用信息应用，推进部门之间信用信息共享共用。加快建立失信联合惩戒机制，强化信用对招标代理机构的约束作用，构建“一处失信、处处受制”的市场环境。</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六、加大投诉举报查处力度。各级住房城乡建设主管部门要建立健全公平、高效的投诉举报处理机制，严格按照《工程建设项目招标投标活动投诉处理办法》，及时受理并依法处理房屋建筑和市政基础设施领域的招投标投诉举报，保护招标投标活动当事人的合法权益，维护招标投标活动的正常市场秩序。</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七、推进行业自律。充分发挥行业协会对促进工程建设项目招标代理行业规范发展的重要作用。支持行业协会研究制定从业机构和从业人员行为规范，发布行业自律公约，加强对招标代理机构和从业人员行为的约束和管理。鼓励行业协会开展招标代理机构资信评价和从业人员培训工作，提升招标代理服务能力。</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各级住房城乡建设主管部门要高度重视招标代理机构资格认定取消后的事中事后监管工作，完善工作机制，创新监管手段，加强工程建设项目招标投标活动监管，依法严肃查处违法违规行为，促进招投标活动有序开展。</w:t>
      </w:r>
    </w:p>
    <w:p>
      <w:pPr>
        <w:pStyle w:val="2"/>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br w:type="textWrapping"/>
      </w:r>
      <w:r>
        <w:rPr>
          <w:rFonts w:hint="default" w:ascii="宋体 ，Arial" w:hAnsi="宋体 ，Arial" w:eastAsia="宋体 ，Arial" w:cs="宋体 ，Arial"/>
          <w:color w:val="000000"/>
          <w:sz w:val="18"/>
          <w:szCs w:val="18"/>
        </w:rPr>
        <w:t>　　　　　　　　　　　　　　　　　　</w:t>
      </w:r>
      <w:r>
        <w:rPr>
          <w:rFonts w:hint="eastAsia" w:ascii="宋体 ，Arial" w:hAnsi="宋体 ，Arial" w:eastAsia="宋体 ，Arial" w:cs="宋体 ，Arial"/>
          <w:color w:val="000000"/>
          <w:sz w:val="18"/>
          <w:szCs w:val="18"/>
          <w:lang w:val="en-US" w:eastAsia="zh-CN"/>
        </w:rPr>
        <w:t xml:space="preserve">     </w:t>
      </w:r>
      <w:r>
        <w:rPr>
          <w:rFonts w:hint="default" w:ascii="宋体 ，Arial" w:hAnsi="宋体 ，Arial" w:eastAsia="宋体 ，Arial" w:cs="宋体 ，Arial"/>
          <w:color w:val="000000"/>
          <w:sz w:val="18"/>
          <w:szCs w:val="18"/>
        </w:rPr>
        <w:t>　　　　　　　　</w:t>
      </w:r>
      <w:bookmarkStart w:id="0" w:name="_GoBack"/>
      <w:bookmarkEnd w:id="0"/>
      <w:r>
        <w:rPr>
          <w:rFonts w:hint="eastAsia" w:ascii="宋体 ，Arial" w:hAnsi="宋体 ，Arial" w:eastAsia="宋体 ，Arial" w:cs="宋体 ，Arial"/>
          <w:color w:val="000000"/>
          <w:sz w:val="18"/>
          <w:szCs w:val="18"/>
          <w:lang w:val="en-US" w:eastAsia="zh-CN"/>
        </w:rPr>
        <w:t xml:space="preserve">           </w:t>
      </w:r>
      <w:r>
        <w:rPr>
          <w:rFonts w:hint="default" w:ascii="宋体 ，Arial" w:hAnsi="宋体 ，Arial" w:eastAsia="宋体 ，Arial" w:cs="宋体 ，Arial"/>
          <w:color w:val="000000"/>
          <w:sz w:val="18"/>
          <w:szCs w:val="18"/>
        </w:rPr>
        <w:t>　住房城乡建设部办公厅</w:t>
      </w:r>
      <w:r>
        <w:rPr>
          <w:rFonts w:hint="default" w:ascii="宋体 ，Arial" w:hAnsi="宋体 ，Arial" w:eastAsia="宋体 ，Arial" w:cs="宋体 ，Arial"/>
          <w:color w:val="000000"/>
          <w:sz w:val="18"/>
          <w:szCs w:val="18"/>
        </w:rPr>
        <w:br w:type="textWrapping"/>
      </w:r>
      <w:r>
        <w:rPr>
          <w:rFonts w:hint="default" w:ascii="宋体 ，Arial" w:hAnsi="宋体 ，Arial" w:eastAsia="宋体 ，Arial" w:cs="宋体 ，Arial"/>
          <w:color w:val="000000"/>
          <w:sz w:val="18"/>
          <w:szCs w:val="18"/>
        </w:rPr>
        <w:t>　　　　　　　　　　　　　　　　　　　　　　　　　　　　　　　　　　　　2017年12月28日</w:t>
      </w:r>
    </w:p>
    <w:p>
      <w:pPr>
        <w:jc w:val="both"/>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Arial">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03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sz w:val="18"/>
      <w:szCs w:val="18"/>
      <w:u w:val="none"/>
      <w:bdr w:val="none" w:color="auto" w:sz="0" w:space="0"/>
    </w:rPr>
  </w:style>
  <w:style w:type="character" w:styleId="6">
    <w:name w:val="Hyperlink"/>
    <w:basedOn w:val="4"/>
    <w:uiPriority w:val="0"/>
    <w:rPr>
      <w:color w:val="000000"/>
      <w:sz w:val="18"/>
      <w:szCs w:val="18"/>
      <w:u w:val="none"/>
      <w:bdr w:val="none" w:color="auto" w:sz="0" w:space="0"/>
    </w:rPr>
  </w:style>
  <w:style w:type="paragraph" w:customStyle="1" w:styleId="7">
    <w:name w:val="pbj"/>
    <w:basedOn w:val="1"/>
    <w:uiPriority w:val="0"/>
    <w:pPr>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一生何求</cp:lastModifiedBy>
  <dcterms:modified xsi:type="dcterms:W3CDTF">2019-07-09T06:27:45Z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